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2008/234 vom 16. Februar 2009</w:t>
      </w:r>
    </w:p>
    <w:p>
      <w:r>
        <w:t>Sg Versicherungsgericht, 2009-02-16, DE</w:t>
      </w:r>
    </w:p>
    <w:p>
      <w:r>
        <w:rPr>
          <w:b/>
        </w:rPr>
        <w:t xml:space="preserve">Quelle: </w:t>
      </w:r>
      <w:r>
        <w:t>https://mcp.opencaselaw.ch/entscheid/sg_publikationen_IV 2008_234</w:t>
      </w:r>
    </w:p>
    <w:p>
      <w:r>
        <w:t>FR: SG_VERSICHERUNGSGERICHT IV 2008/234 du 16 février 2009</w:t>
      </w:r>
    </w:p>
    <w:p>
      <w:r>
        <w:t>IT: SG_VERSICHERUNGSGERICHT IV 2008/234 del 16 febbraio 2009</w:t>
      </w:r>
    </w:p>
    <w:p>
      <w:pPr>
        <w:pStyle w:val="Heading2"/>
      </w:pPr>
      <w:r>
        <w:t>Regeste</w:t>
      </w:r>
    </w:p>
    <w:p>
      <w:r>
        <w:t>Art. 16 ATSG. Ermittlung des Invaliditätsgrads mittels Prozentvergleich (Entscheid des Versicherungsgerichts des Kantons St. Gallen vom 16. Februar 2009, IV 2008/234).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16. April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ab Januar 2004 geltenden Fassung gemäss 4. IV-Revision)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3</w:t>
      </w:r>
    </w:p>
    <w:p>
      <w:r>
        <w:t>Was die medizinisch (theoretisch) zumutbare Arbeitsleistung betrifft, kann gestützt auf das Gutachten der MEDAS Zentralschweiz vom 12. Oktober 2007 unbestrittenermassen davon ausgegangen werden, dass der Beschwerdeführer für eine körperlich leichte Tätigkeit in Wechselbelastung ohne häufiges (körpernahes) Heben von über 5 kg resp. seltenes von über 10 kg und unter Vermeidung von rückenhygienisch ungünstigen Körperpositionen zu 100%, für eine rein sitzende Tätigkeit zu 70% arbeitsfähig ist. Umstritten ist jedoch, ob eine derart adaptierte Tätigkeit existiert. Zudem ist die Höhe des Leidensabzugs umstritten. Ausserdem gilt es, zu klären, ob beim Invalideneinkommen auf eine 70%ige oder 100%ige Tätigkeit abzustellen ist.</w:t>
      </w:r>
    </w:p>
    <w:p>
      <w:r>
        <w:rPr>
          <w:b/>
        </w:rPr>
        <w:t>E. 3.1</w:t>
      </w:r>
    </w:p>
    <w:p>
      <w:r>
        <w:t>Für die Frage, ob der Beschwerdeführer eine ihm noch zumutbare adaptierte Tätigkeit verwerten kann, ist auf den ausgeglichenen Arbeitsmarkt abzustellen. Der Begriff des ausgeglichenen Arbeitsmarktes umschliesst einerseits ein bestimmtes Gleichgewicht zwischen dem Angebot und der Nachfrage nach Stellen; andererseits bezeichnet er einen Arbeitsmarkt, der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würden (AHI 1998 S. 291). Es kann nicht davon ausgegangen werden, sämtliche Hilfsarbeiten seien körperlich streng. Vielmehr ist davon auszugehen, dass auf dem oben beschriebenen ausgeglichenen Arbeitsmarkt auch körperlich leichtere Tätigkeiten existieren, wie etwa Überwachungs- und Kontrolltätigkeiten. Derartige Tätigkeiten sind durchaus mit den im MEDAS-Gutachten gestellten Anforderungen an eine adaptierte Tätigkeit vereinbar; dies gilt sowohl für die attestierte 70%ige Arbeitsfähigkeit für sitzende Tätigkeiten als auch für die attestierte 100%ige Arbeitsfähigkeit für wechselbelastende Arbeiten.</w:t>
      </w:r>
    </w:p>
    <w:p>
      <w:r>
        <w:rPr>
          <w:b/>
        </w:rPr>
        <w:t>E. 3.2</w:t>
      </w:r>
    </w:p>
    <w:p>
      <w:r>
        <w:t>Nachdem der Beschwerdeführer, wie oben dargelegt, seine 100%ige Arbeitsfähigkeit für adaptierte wechselbelastende Tätigkeiten auf dem ausgeglichenen Arbeitsmarkt verwerten kann, ist - wie die Beschwerdegegnerin im Rahmen ihrer Beschwerdeantwort zu Recht geltend macht - das Invalideneinkommen ausgehend von einer 100%igen (und nicht wie in der angefochtenen Verfügung aufgrund einer 70%igen) Tätigkeit zu bemessen. Dabei ist auf den Tabellenlohn der LSE für den privaten Sektor, Anforderungsniveau 4, abzustellen. Dieser betrug im Jahr 2000 bei einer betriebsüblichen Arbeitszeit von 41.8 Stunden pro Woche Fr. 55'640.--. Dieses Invalideneinkommen liegt über dem Valideneinkommen, verdiente der Beschwerdeführer doch im Jahr 2000 Fr. 50'748.-- (act. G 3.1.8, 3.1.52). Damit im Rahmen des Einkommensvergleichs nur invaliditätsbedingte Differenzen ermittelt werden, ist das Valideneinkommen auf das Niveau des Invalideneinkommens anzuheben.</w:t>
      </w:r>
    </w:p>
    <w:p>
      <w:r>
        <w:rPr>
          <w:b/>
        </w:rPr>
        <w:t>E. 3.3</w:t>
      </w:r>
    </w:p>
    <w:p>
      <w:r>
        <w:t>Wie oben dargelegt, entspricht das Valideneinkommen vorliegend betragsmässig dem Invalideneinkommen. Der Invaliditätsgrad entspricht unter solchen Verhältnissen dem Grad der Arbeitsunfähigkeit unter Berücksichtigung des Abzuges vom Tabellenlohn (Entscheide des Eidgenössischen Versicherungsgerichts vom 8. Juni 2005, I 552/04, E. 3.4, und vom 19. November 2003, I 479/03, E. 3.1). Nachdem der Beschwerdeführer in einer adaptierten Tätigkeit zu 100% arbeitsfähig ist und der maximal zulässige Leidensabzug gemäss bundesgerichtlicher Rechtsprechung 25% beträgt (BGE 126 V 80, E. 5b/cc), erübrigt es sich vorliegend, den angemessenen Leidensabzug zu beziffern und auf die diesbezüglichen Vorbringen des Beschwerdeführers einzugehen, resultiert nach dem Gesagten doch in jedem Fall ein rentenausschliessender Invaliditätsgrad von maximal 25%.</w:t>
      </w:r>
    </w:p>
    <w:p>
      <w:r>
        <w:rPr>
          <w:b/>
        </w:rPr>
        <w:t>E. 3.4</w:t>
      </w:r>
    </w:p>
    <w:p>
      <w:r>
        <w:t>Nach dem Gesagten ist die angefochtene Verfügung im Ergebnis nicht zu beanstanden.</w:t>
      </w:r>
    </w:p>
    <w:p>
      <w:r>
        <w:rPr>
          <w:b/>
        </w:rPr>
        <w:t>E. 4.1</w:t>
      </w:r>
    </w:p>
    <w:p>
      <w:r>
        <w:t>Im Sinne der vorstehenden Erwägungen ist die Beschwerde abzuweisen.</w:t>
      </w:r>
    </w:p>
    <w:p>
      <w:r>
        <w:rPr>
          <w:b/>
        </w:rPr>
        <w:t>E. 4.2</w:t>
      </w:r>
    </w:p>
    <w:p>
      <w:r>
        <w:t>Dem Beschwerdeführer wurde die unentgeltliche Prozessführung und Rechtsverbeiständung am 24. Juni 2008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w:t>
      </w:r>
    </w:p>
    <w:p>
      <w:r>
        <w:rPr>
          <w:b/>
        </w:rPr>
        <w:t>E. 4.3</w:t>
      </w:r>
    </w:p>
    <w:p>
      <w:r>
        <w:t>Dem unterliegenden Beschwerdeführer sind die Gerichtskosten in Höhe von Fr. 600.-- aufzuerlegen. Zufolge unentgeltlicher Rechtspflege ist er von der Bezahlung zu befreien.</w:t>
      </w:r>
    </w:p>
    <w:p>
      <w:r>
        <w:rPr>
          <w:b/>
        </w:rPr>
        <w:t>E. 4.4</w:t>
      </w:r>
    </w:p>
    <w:p>
      <w:r>
        <w:t>Der Staat ist zufolge unentgeltlicher Rechtsverbeiständung zu verpflichten, für die Kosten der Rechtsvertretung des Beschwerdeführers aufzukommen. Der Vertreter des Beschwerdeführers reichte am 30. Juni 2008 eine Kostennote über Fr. 3'693.-- (pauschales Honorar Fr. 4'125.--, Reduktion für unentgeltliche Prozessführung Fr. 825.--, Barauslagen Fr. 132.--, Mehrwertsteuer Fr. 261.--) ein. Dieses Honorar kann gerade noch als angemessen bezeichnet werden.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3'693.--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